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legge 23 agosto 1988, n. 400, recante la “Disciplina dell’attività di Governo e ordinamento della Presidenza del Consiglio dei Ministri”;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legislativo 30 luglio 1999, n. 303, recante “Ordinamento della Presidenza del Consiglio dei Ministri, a norma dell’articolo 11 della legge 15 marzo 1997, n. 59” e successive modificazioni e integrazioni;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22 novembre 2010 concernente l’autonomia finanziaria e contabile della Presidenza del Consiglio dei Ministri;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VISTO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1° ottobre 2012, recante “Ordinamento delle strutture generali della Presidenza del Consiglio dei Ministri” e, in particolare, l’articolo 14 relativo alla struttura e alle funzioni del Dipartimento della Funzione Pubblica;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Ministro per la semplificazione e la pubblica amministrazione del 17 novembre 2015 recante “Organizzazione interna del Dipartimento della Funzione Pubblica”;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28 dicembre 2016, registrato alla Corte dei Conti in data 11 gennaio 2017 al n. 106, con il quale è stato conferito al Cons. Pia Marconi l’incarico di Capo Dipartimento della Funzione Pubblica;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4 febbraio 2016, registrato alla Corte dei Conti il 1 marzo 2016, al n. 575, con il quale è stato conferito al Cons. Antonella Caliendo l’incarico di Direttore dell’Ufficio per la gestione amministrativa (UGA) del Dipartimento della Funzione Pubblica;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VISTO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Direttore dell’Ufficio per la gestione amministrativa del 6 aprile 2016, registrato alla Corte dei Conti il 9 maggio 2016 reg.-prev. n.1124, con il quale alla dott.ssa Anna Maria Ambrosini è stato conferito l’incarico di Direttore del Servizio per gli interventi a titolarità;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Regolamento (UE) n. 1301/2013 del 17 dicembre 2013, relativo al Fondo europeo di sviluppo regionale e a disposizioni specifiche concernenti l’obiettivo “Investimenti a favore della crescita e dell'occupazione” e che abroga il regolamento (CE) n. 1080/2006;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il Regolamento (UE) n. 1303/2013 del 17 dicembre 2013, recante disposizioni comuni sul Fondo europeo di sviluppo regionale, sul Fondo sociale europeo, sul Fondo di coesione, sul Fondo europeo agricolo per lo sviluppo rurale e sul Fondo europeo per gli affari marittimi e la pesca e disposizioni generali sul Fondo europeo di sviluppo regionale, sul Fondo sociale europeo, sul Fondo di coesione e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lastRenderedPageBreak/>
        <w:t>sul Fondo europeo per gli affari marittimi e la pesca, e che abroga il regolamento (CE) n. 1083/2006 del Consiglio;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Regolamento (UE) n. 1304/2013, relativo al Fondo sociale europeo e che abroga il regolamento (CE) n. 1081/2006 del Consiglio;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VISTA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delibera CIPE n. 18/2014 e la decisione di esecuzione C(2014) 8021 Final – CCI 2014IT16M8PA001 del 29 ottobre 2014 di approvazione dell’Accordo di partenariato 2014-2020 Italia;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decisione della Commissione Europea C(2015) del 23 febbraio 2015, n. 1343 concernente l’approvazione del PON “Governance e capacità istituzionale” 2014-2020, CCI12014IT05M20P002, cofinanziato dal Fondo sociale europeo (FSE) e dal Fondo europeo di sviluppo regionale (FESR), a titolarità dell’Agenzia per la coesione territoriale e successiva modifica C(2016) del 10 novembre 2016 n. 7282;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documento “Metodologia e criteri per la selezione delle operazioni” vers. 1.1. approvato dal Comitato di Sorveglianza del PON “Governance e capacità istituzionale” 2014-2020 in data 14 giugno 2017;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Convenzione sottoscritta in data 4 agosto 2015 tra l’Agenzia per la coesione territoriale e il Dipartimento della Funzione Pubblica, con la quale, ai sensi dell’articolo 123 del predetto Regolamento (UE) 1303/2013, l’Autorità di Gestione del PON “Governance e capacità istituzionale” 2014-2020 ha delegato al Dipartimento della funzione pubblica lo svolgimento delle funzioni di Organismo Intermedio con riferimento alle linee di attività relative all’Asse 1 (obiettivi specifici 1.1, 1.2, 1.3 e 1.5), all’Asse 2 (obiettivi specifici 2.1, 2.2 – azioni 2.1.1, 2.2.1 e 2.2.2), all’Asse 3 (obiettivo specifico 3.1 – azione 3.1.5) e all’Asse 4 (obiettivo specifico 4.1 per le risorse di “Assistenza tecnica”);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determina ID14889811 del 27 settembre 2016 di adozione degli atti organizzativi dell’Organismo Intermedio – Dipartimento della funzione pubblica, che si compongono tra gli altri dell’organigramma e del funzionigramma dello stesso Organismo Intermedio;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che l’obiettivo specifico 1.3 “Miglioramento delle prestazioni della Pubblica Amministrazione” del PON “Governance e capacità istituzionale” 2014-2020 prevede nell’ambito dell’Azione 1.3.1 “Interventi per lo sviluppo delle competenze digitale (e-skills), di modelli per la gestione associata di servizi avanzati”;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VISTO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il Piano della programmazione attuativa elaborato dall’Organismo Intermedio per le annualità 2016-2017 – versione 0.2 del 25 luglio 2017, che prevede la realizzazione, attraverso il PON “Governance e capacità istituzionale” 2014-2020, dell’intervento “Competenze digitali per la PA”, del valore di € 5.000.000,00, volto a contribuire al rafforzamento delle competenze digitali di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lastRenderedPageBreak/>
        <w:t>base dei dipendenti pubblici e a diffondere una visione comune sui temi della cittadinanza digitale;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che, nell’ambito del suddetto intervento,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è sorta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l’esigenza di reperire un servizio a supporto di attività di verifica web-based delle competenze digitali trasversali per la Pubblica Amministrazione;</w:t>
      </w:r>
    </w:p>
    <w:p w:rsid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Cs w:val="24"/>
          <w:lang w:eastAsia="it-IT"/>
        </w:rPr>
        <w:t>che secondo quanto previsto dal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l’art. 32 comma 2 del D. Lgs del 19 aprile 2016 n. 50, di attuazione delle direttive 2014/23/CE, 2014/24/CE e 2014/25/CE (di seguito anche “Nuovo Codice”) </w:t>
      </w:r>
      <w:r>
        <w:rPr>
          <w:rFonts w:ascii="Times New Roman" w:eastAsia="Times New Roman" w:hAnsi="Times New Roman" w:cs="Times New Roman"/>
          <w:szCs w:val="24"/>
          <w:lang w:eastAsia="it-IT"/>
        </w:rPr>
        <w:t>l’Am</w:t>
      </w:r>
      <w:r w:rsidR="00687A66">
        <w:rPr>
          <w:rFonts w:ascii="Times New Roman" w:eastAsia="Times New Roman" w:hAnsi="Times New Roman" w:cs="Times New Roman"/>
          <w:szCs w:val="24"/>
          <w:lang w:eastAsia="it-IT"/>
        </w:rPr>
        <w:t>ministrazione con determina n. ID17326499 del 28 luglio 2017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ha indetto una procedura negoziata sotto soglia ai sensi dell'art.36, comma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2 lett b),</w:t>
      </w:r>
      <w:r w:rsidR="00AE24C1">
        <w:rPr>
          <w:rFonts w:ascii="Times New Roman" w:eastAsia="Times New Roman" w:hAnsi="Times New Roman" w:cs="Times New Roman"/>
          <w:szCs w:val="24"/>
          <w:lang w:eastAsia="it-IT"/>
        </w:rPr>
        <w:t xml:space="preserve"> e comma 6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del D. Lgs n. 50/2016 per l’affidamento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del servizio sopra citato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, mediante invio di una Richiesta di Offerta (RdO) sul Mercato elettronico della Pubblica Amministrazione </w:t>
      </w:r>
      <w:r w:rsidR="00DE0CA6">
        <w:rPr>
          <w:rFonts w:ascii="Times New Roman" w:eastAsia="Times New Roman" w:hAnsi="Times New Roman" w:cs="Times New Roman"/>
          <w:szCs w:val="24"/>
          <w:lang w:eastAsia="it-IT"/>
        </w:rPr>
        <w:t xml:space="preserve"> d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a valere sul bando “Prestazione di Servizi alle Pubbliche Amministrazioni”, categoria “Servizi di formazione” - sottocategoria “Formazione informatica” rivolta agli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operatori economici da individuarsi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tramite pubblicazione di avviso esplorativo per manifestazione di interesse</w:t>
      </w:r>
      <w:r w:rsidR="00DE0CA6">
        <w:rPr>
          <w:rFonts w:ascii="Times New Roman" w:eastAsia="Times New Roman" w:hAnsi="Times New Roman" w:cs="Times New Roman"/>
          <w:szCs w:val="24"/>
          <w:lang w:eastAsia="it-IT"/>
        </w:rPr>
        <w:t>, da aggiudicarsi con il criterio dell’offerta economicamente più vantaggiosa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:rsidR="009659E6" w:rsidRDefault="00637F81" w:rsidP="00637F81">
      <w:pPr>
        <w:tabs>
          <w:tab w:val="left" w:pos="265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>che con la citata determina è stato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 quindi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approvato l’Avviso esplorativo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necessario a </w:t>
      </w:r>
      <w:r w:rsidR="009659E6" w:rsidRPr="009659E6">
        <w:rPr>
          <w:rFonts w:ascii="Times New Roman" w:eastAsia="Times New Roman" w:hAnsi="Times New Roman" w:cs="Times New Roman"/>
          <w:szCs w:val="24"/>
          <w:lang w:eastAsia="it-IT"/>
        </w:rPr>
        <w:t>raccogliere le manifestazioni di interesse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 sull’iniziativa in oggetto e</w:t>
      </w:r>
      <w:r w:rsidR="009659E6" w:rsidRPr="009659E6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a </w:t>
      </w:r>
      <w:r w:rsidR="009659E6" w:rsidRPr="009659E6">
        <w:rPr>
          <w:rFonts w:ascii="Times New Roman" w:eastAsia="Times New Roman" w:hAnsi="Times New Roman" w:cs="Times New Roman"/>
          <w:szCs w:val="24"/>
          <w:lang w:eastAsia="it-IT"/>
        </w:rPr>
        <w:t>selezionare gli operatori economici da invitare alla procedura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negoziata sotto soglia ai sensi dell’art. 36, comma 2 lett. b) 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 xml:space="preserve">e comma 6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>del Dlgs n. 50/2016;</w:t>
      </w:r>
    </w:p>
    <w:p w:rsidR="00637F81" w:rsidRDefault="009659E6" w:rsidP="006D3136">
      <w:pPr>
        <w:tabs>
          <w:tab w:val="left" w:pos="265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l’esito del citato Avviso esplorativo, in base </w:t>
      </w:r>
      <w:r w:rsidR="00637F81">
        <w:rPr>
          <w:rFonts w:ascii="Times New Roman" w:eastAsia="Times New Roman" w:hAnsi="Times New Roman" w:cs="Times New Roman"/>
          <w:szCs w:val="24"/>
          <w:lang w:eastAsia="it-IT"/>
        </w:rPr>
        <w:t>al quale hanno manifestato intere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>sse ad essere invitati al successivo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confronto concorrenziale n. </w:t>
      </w:r>
      <w:r w:rsidR="00687A66" w:rsidRPr="00013243">
        <w:rPr>
          <w:rFonts w:ascii="Times New Roman" w:eastAsia="Times New Roman" w:hAnsi="Times New Roman" w:cs="Times New Roman"/>
          <w:szCs w:val="24"/>
          <w:lang w:eastAsia="it-IT"/>
        </w:rPr>
        <w:t xml:space="preserve">6 </w:t>
      </w:r>
      <w:r w:rsidRPr="00013243">
        <w:rPr>
          <w:rFonts w:ascii="Times New Roman" w:eastAsia="Times New Roman" w:hAnsi="Times New Roman" w:cs="Times New Roman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Cs w:val="24"/>
          <w:lang w:eastAsia="it-IT"/>
        </w:rPr>
        <w:t>peratori economici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>, giusto</w:t>
      </w:r>
      <w:r w:rsidR="00DE0CA6">
        <w:rPr>
          <w:rFonts w:ascii="Times New Roman" w:eastAsia="Times New Roman" w:hAnsi="Times New Roman" w:cs="Times New Roman"/>
          <w:szCs w:val="24"/>
          <w:lang w:eastAsia="it-IT"/>
        </w:rPr>
        <w:t xml:space="preserve"> verbale</w:t>
      </w:r>
      <w:r w:rsidR="00687A66">
        <w:rPr>
          <w:rFonts w:ascii="Times New Roman" w:eastAsia="Times New Roman" w:hAnsi="Times New Roman" w:cs="Times New Roman"/>
          <w:szCs w:val="24"/>
          <w:lang w:eastAsia="it-IT"/>
        </w:rPr>
        <w:t xml:space="preserve"> del Direttore del Servizio per gli interventi a titolarità, responsabile unico del Procedimento, n. ID 17495245 del 31 agosto 2017</w:t>
      </w:r>
      <w:r w:rsidR="006D3136">
        <w:rPr>
          <w:rFonts w:ascii="Times New Roman" w:eastAsia="Times New Roman" w:hAnsi="Times New Roman" w:cs="Times New Roman"/>
          <w:szCs w:val="24"/>
          <w:lang w:eastAsia="it-IT"/>
        </w:rPr>
        <w:t xml:space="preserve">, salva la facoltà di integrazione del numero degli operatori economici nel numero massimo di 10 (dieci) </w:t>
      </w:r>
      <w:r w:rsidR="006D3136" w:rsidRPr="00510823">
        <w:rPr>
          <w:rFonts w:ascii="Times New Roman" w:eastAsia="Times New Roman" w:hAnsi="Times New Roman" w:cs="Times New Roman"/>
          <w:szCs w:val="24"/>
          <w:lang w:eastAsia="it-IT"/>
        </w:rPr>
        <w:t>secondo quanto previsto nell’Avviso stesso al paragrafo V, terzo capoverso</w:t>
      </w:r>
      <w:r w:rsidR="006D3136" w:rsidRPr="00637F81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:rsidR="00637F81" w:rsidRDefault="00637F81" w:rsidP="009659E6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che l’importo massimo stimato del servizio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 xml:space="preserve"> di cui sopra è di Euro 134.000,00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(centotrentaquattromila/00) oltre IVA e che tale importo, ritenuto congruo dall’Amministrazione, risulta inferiore alle soglie di rilevanza comunitaria previste dall’art. 35 del D.Lgs. 50 del 2016;</w:t>
      </w:r>
      <w:r w:rsidR="009659E6" w:rsidRPr="009659E6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</w:t>
      </w:r>
    </w:p>
    <w:p w:rsidR="009659E6" w:rsidRDefault="009659E6" w:rsidP="009659E6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9659E6"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 w:rsidRPr="009659E6">
        <w:rPr>
          <w:rFonts w:ascii="Times New Roman" w:eastAsia="Times New Roman" w:hAnsi="Times New Roman" w:cs="Times New Roman"/>
          <w:szCs w:val="24"/>
          <w:lang w:eastAsia="it-IT"/>
        </w:rPr>
        <w:tab/>
        <w:t>che per il servizio da acquisire non sussistono Convenzioni Consip attive ex art. 26, L. 488/99 e che la categoria merceologica legata al suddetto servizio è reperibile sul Mercato Elettronico della Pubblica Amministrazioni (MEPA);</w:t>
      </w:r>
    </w:p>
    <w:p w:rsidR="00DE0CA6" w:rsidRDefault="00DE0CA6" w:rsidP="00DE0CA6">
      <w:pPr>
        <w:tabs>
          <w:tab w:val="left" w:pos="2532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>che ai sensi dell’art. 36, comma 2 lett. b)</w:t>
      </w:r>
      <w:r w:rsidRPr="00DE0CA6">
        <w:t xml:space="preserve"> </w:t>
      </w:r>
      <w:r w:rsidRPr="00DE0CA6">
        <w:rPr>
          <w:rFonts w:ascii="Times New Roman" w:eastAsia="Times New Roman" w:hAnsi="Times New Roman" w:cs="Times New Roman"/>
          <w:szCs w:val="24"/>
          <w:lang w:eastAsia="it-IT"/>
        </w:rPr>
        <w:t xml:space="preserve">del D.lgs 50/2016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le  </w:t>
      </w:r>
      <w:r w:rsidRPr="00DE0CA6">
        <w:rPr>
          <w:rFonts w:ascii="Times New Roman" w:eastAsia="Times New Roman" w:hAnsi="Times New Roman" w:cs="Times New Roman"/>
          <w:szCs w:val="24"/>
          <w:lang w:eastAsia="it-IT"/>
        </w:rPr>
        <w:t xml:space="preserve">Amministrazioni procedono “per affidamenti di importo pari o superiore a 40.000 euro e inferiore a 150.000 euro per i lavori, o alle soglie di cui all'articolo 35 per le forniture e i servizi, mediante procedura negoziata previa consultazione, ove esistenti di </w:t>
      </w:r>
      <w:r w:rsidRPr="00DE0CA6">
        <w:rPr>
          <w:rFonts w:ascii="Times New Roman" w:eastAsia="Times New Roman" w:hAnsi="Times New Roman" w:cs="Times New Roman"/>
          <w:szCs w:val="24"/>
          <w:lang w:eastAsia="it-IT"/>
        </w:rPr>
        <w:lastRenderedPageBreak/>
        <w:t>almeno dieci operatori economici per i lavori, e</w:t>
      </w:r>
      <w:r w:rsidR="008353A4">
        <w:rPr>
          <w:rFonts w:ascii="Times New Roman" w:eastAsia="Times New Roman" w:hAnsi="Times New Roman" w:cs="Times New Roman"/>
          <w:szCs w:val="24"/>
          <w:lang w:eastAsia="it-IT"/>
        </w:rPr>
        <w:t xml:space="preserve">, per i servizi e le forniture </w:t>
      </w:r>
      <w:r w:rsidRPr="00DE0CA6">
        <w:rPr>
          <w:rFonts w:ascii="Times New Roman" w:eastAsia="Times New Roman" w:hAnsi="Times New Roman" w:cs="Times New Roman"/>
          <w:szCs w:val="24"/>
          <w:lang w:eastAsia="it-IT"/>
        </w:rPr>
        <w:t>di almeno cinque operatori economici individuati sulla base di indagini di mercato o tramite elenchi di operatori economici, nel rispetto di un criterio di rotazione degli inviti”;</w:t>
      </w:r>
    </w:p>
    <w:p w:rsidR="009659E6" w:rsidRPr="00637F81" w:rsidRDefault="009659E6" w:rsidP="009659E6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RAVVISATO</w:t>
      </w:r>
      <w:r w:rsidRPr="009659E6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            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che in considerazione della natura del servizio non ricorre la necessità di predisporre il DUVRI, essendo valutati gli oneri da rischi da interferenza pari a zero, mentre i costi della manodopera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sono stimati in Euro</w:t>
      </w:r>
      <w:r w:rsidR="008353A4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8353A4" w:rsidRPr="007C4F66">
        <w:rPr>
          <w:rFonts w:ascii="Times New Roman" w:eastAsia="Times New Roman" w:hAnsi="Times New Roman" w:cs="Times New Roman"/>
          <w:szCs w:val="24"/>
          <w:lang w:eastAsia="it-IT"/>
        </w:rPr>
        <w:t>120.000,00</w:t>
      </w:r>
      <w:bookmarkStart w:id="0" w:name="_GoBack"/>
      <w:bookmarkEnd w:id="0"/>
      <w:r w:rsidR="008353A4">
        <w:rPr>
          <w:rFonts w:ascii="Times New Roman" w:eastAsia="Times New Roman" w:hAnsi="Times New Roman" w:cs="Times New Roman"/>
          <w:szCs w:val="24"/>
          <w:lang w:eastAsia="it-IT"/>
        </w:rPr>
        <w:t xml:space="preserve"> (centoventimila/00)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, ai sensi di quanto previsto dall’art.23 comma 16 del D.lgs 50/2016 e s.m.i.;</w:t>
      </w:r>
    </w:p>
    <w:p w:rsidR="009659E6" w:rsidRDefault="00637F81" w:rsidP="00637F81">
      <w:pPr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RITENUTO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>che in considera</w:t>
      </w:r>
      <w:r w:rsidR="00603077">
        <w:rPr>
          <w:rFonts w:ascii="Times New Roman" w:eastAsia="Times New Roman" w:hAnsi="Times New Roman" w:cs="Times New Roman"/>
          <w:szCs w:val="24"/>
          <w:lang w:eastAsia="it-IT"/>
        </w:rPr>
        <w:t xml:space="preserve">zione dell’oggetto e dell’unitarietà del servizio, l’affidamento non è suddivisibile 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>in lotti;</w:t>
      </w:r>
    </w:p>
    <w:p w:rsidR="00637F81" w:rsidRPr="00637F81" w:rsidRDefault="00B97A90" w:rsidP="00897807">
      <w:pPr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RAVVISATO           </w:t>
      </w:r>
      <w:r w:rsidR="00897807">
        <w:rPr>
          <w:rFonts w:ascii="Times New Roman" w:eastAsia="Times New Roman" w:hAnsi="Times New Roman" w:cs="Times New Roman"/>
          <w:szCs w:val="24"/>
          <w:lang w:eastAsia="it-IT"/>
        </w:rPr>
        <w:t>c</w:t>
      </w:r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>he il costo del predetto servizio è finanziato a valere sul PON “Governance e capacità istituzionale” 2014-2020, nell’ambito dell’obiettivo specifico 1.3. “Miglioramento delle prestazioni della Pubblica Amministrazione”;</w:t>
      </w: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637F81" w:rsidRPr="00637F81" w:rsidRDefault="00637F81" w:rsidP="00637F81">
      <w:pPr>
        <w:tabs>
          <w:tab w:val="left" w:pos="2160"/>
        </w:tabs>
        <w:spacing w:before="240" w:after="24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b/>
          <w:bCs/>
          <w:snapToGrid w:val="0"/>
          <w:szCs w:val="24"/>
          <w:lang w:eastAsia="it-IT"/>
        </w:rPr>
        <w:t>DECRETA</w:t>
      </w:r>
    </w:p>
    <w:p w:rsid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di </w:t>
      </w:r>
      <w:r w:rsidR="00897807">
        <w:rPr>
          <w:rFonts w:ascii="Times New Roman" w:eastAsia="Times New Roman" w:hAnsi="Times New Roman" w:cs="Times New Roman"/>
          <w:szCs w:val="24"/>
          <w:lang w:eastAsia="it-IT"/>
        </w:rPr>
        <w:t xml:space="preserve">procedere al perfezionamento della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procedura negoz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>iata ai sensi dell'art.36, comma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2 lett b), </w:t>
      </w:r>
      <w:r w:rsidR="004C7694">
        <w:rPr>
          <w:rFonts w:ascii="Times New Roman" w:eastAsia="Times New Roman" w:hAnsi="Times New Roman" w:cs="Times New Roman"/>
          <w:szCs w:val="24"/>
          <w:lang w:eastAsia="it-IT"/>
        </w:rPr>
        <w:t xml:space="preserve">e comma 6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del D. Lgs n. 50/2016 per l’affidamento di un servizio a supporto di attività di verifica web-based delle competenze digitali trasversali per la Pubblica Amministrazione, mediante invio di una Richiesta di Offerta (RdO) sul Mercato elettronico della Pubblica Amministrazione a valere sul bando “Prestazione di Servizi alle Pubbliche Amministrazioni”, categoria “Servizi di formazione” - sottocategoria “Formazione informatica” rivolta agli operatori economici individuati tramite </w:t>
      </w:r>
      <w:r w:rsidR="00897807">
        <w:rPr>
          <w:rFonts w:ascii="Times New Roman" w:eastAsia="Times New Roman" w:hAnsi="Times New Roman" w:cs="Times New Roman"/>
          <w:szCs w:val="24"/>
          <w:lang w:eastAsia="it-IT"/>
        </w:rPr>
        <w:t xml:space="preserve">la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pubblicazione di avviso esplorativo per manifestazione di interesse</w:t>
      </w:r>
      <w:r w:rsidR="007C4F66" w:rsidRPr="00510823">
        <w:rPr>
          <w:rFonts w:ascii="Times New Roman" w:eastAsia="Times New Roman" w:hAnsi="Times New Roman" w:cs="Times New Roman"/>
          <w:szCs w:val="24"/>
          <w:lang w:eastAsia="it-IT"/>
        </w:rPr>
        <w:t xml:space="preserve">, salva la facoltà di integrazione del numero degli operatori economici nel numero massimo di 10 (dieci) </w:t>
      </w:r>
      <w:r w:rsidR="007C4F66" w:rsidRPr="001908EB">
        <w:rPr>
          <w:rFonts w:ascii="Times New Roman" w:eastAsia="Times New Roman" w:hAnsi="Times New Roman" w:cs="Times New Roman"/>
          <w:szCs w:val="24"/>
          <w:lang w:eastAsia="it-IT"/>
        </w:rPr>
        <w:t>secondo quanto previsto nell’Avviso esplorativo per la manifestazione di interesse</w:t>
      </w:r>
      <w:r w:rsidR="006C27FB" w:rsidRPr="006C27FB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6C27FB">
        <w:rPr>
          <w:rFonts w:ascii="Times New Roman" w:eastAsia="Times New Roman" w:hAnsi="Times New Roman" w:cs="Times New Roman"/>
          <w:szCs w:val="24"/>
          <w:lang w:eastAsia="it-IT"/>
        </w:rPr>
        <w:t>di cui alla determina n. ID17326499 del 28 luglio 2017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:rsidR="00897807" w:rsidRPr="00637F81" w:rsidRDefault="00897807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di approvare la documentazione allega</w:t>
      </w:r>
      <w:r w:rsidR="00DE0CA6">
        <w:rPr>
          <w:rFonts w:ascii="Times New Roman" w:eastAsia="Times New Roman" w:hAnsi="Times New Roman" w:cs="Times New Roman"/>
          <w:szCs w:val="24"/>
          <w:lang w:eastAsia="it-IT"/>
        </w:rPr>
        <w:t>ta alla  RDO (lettera di invito e suoi allegati 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capitolato tecnico del servizio) che forma parte integrante della presente determina;</w:t>
      </w:r>
    </w:p>
    <w:p w:rsidR="00637F81" w:rsidRP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la procedura sarà svolta nel pieno rispetto dei principi di cui all’art. 30, comma 1 e 36, comma 1 del D.Lgs. n. 50/2016;</w:t>
      </w:r>
    </w:p>
    <w:p w:rsidR="00637F81" w:rsidRP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il confronto concorrenziale tra le offerte avverrà con il criterio dell’offerta economicamente più vantaggiosa, ai sensi dell'art. 95 del Nuovo Codice;</w:t>
      </w:r>
    </w:p>
    <w:p w:rsidR="00637F81" w:rsidRP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l'importo da porre a base d'asta di € 134.000</w:t>
      </w:r>
      <w:r w:rsidR="00D71364">
        <w:rPr>
          <w:rFonts w:ascii="Times New Roman" w:eastAsia="Times New Roman" w:hAnsi="Times New Roman" w:cs="Times New Roman"/>
          <w:szCs w:val="24"/>
          <w:lang w:eastAsia="it-IT"/>
        </w:rPr>
        <w:t>,00</w:t>
      </w:r>
      <w:r w:rsidR="004364A3">
        <w:rPr>
          <w:rFonts w:ascii="Times New Roman" w:eastAsia="Times New Roman" w:hAnsi="Times New Roman" w:cs="Times New Roman"/>
          <w:szCs w:val="24"/>
          <w:lang w:eastAsia="it-IT"/>
        </w:rPr>
        <w:t xml:space="preserve"> (centotrentaquattromila/00)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IVA esclusa;</w:t>
      </w:r>
    </w:p>
    <w:p w:rsidR="00637F81" w:rsidRP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>il servizio avrà una durata di 4 mesi decorrenti dalla data di stipula del contratto;</w:t>
      </w:r>
    </w:p>
    <w:p w:rsidR="00637F81" w:rsidRP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di nominare, ai sensi dell’art. 31 del D.Lgs n. 50/2016, quale Responsabile del Procedimento il Direttore del Servizio per gli intervento a titolarità dott.ssa Anna Maria Ambrosini; </w:t>
      </w:r>
    </w:p>
    <w:p w:rsidR="00637F81" w:rsidRDefault="00637F81" w:rsidP="00637F81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la spesa discendente dall’appalto nonché il contributo obbligatorio in favore dell’Autorità Nazionale Anticorruzione (ANAC) sono finanziati mediante le risorse del PON “Governance e capacità istituzionale” 2014-2020, nell’ambito dell’obiettivo specifico 1.3. “Miglioramento delle prestazioni </w:t>
      </w:r>
      <w:r w:rsidR="00D71364">
        <w:rPr>
          <w:rFonts w:ascii="Times New Roman" w:eastAsia="Times New Roman" w:hAnsi="Times New Roman" w:cs="Times New Roman"/>
          <w:szCs w:val="24"/>
          <w:lang w:eastAsia="it-IT"/>
        </w:rPr>
        <w:t>della Pubblica Amministrazione”.</w:t>
      </w:r>
    </w:p>
    <w:p w:rsidR="00DE0CA6" w:rsidRPr="00637F81" w:rsidRDefault="00DE0CA6" w:rsidP="00DE0CA6">
      <w:p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37F81" w:rsidRPr="00637F81" w:rsidRDefault="00637F81" w:rsidP="00897807">
      <w:pPr>
        <w:tabs>
          <w:tab w:val="left" w:pos="21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37F81" w:rsidRPr="00637F81" w:rsidRDefault="00637F81" w:rsidP="00637F81">
      <w:p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637F81" w:rsidRPr="00637F81" w:rsidRDefault="00637F81" w:rsidP="00637F81">
      <w:pPr>
        <w:tabs>
          <w:tab w:val="left" w:pos="5529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637F81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IL CAPO DIPARTIMENTO</w:t>
      </w:r>
    </w:p>
    <w:p w:rsidR="002F08A8" w:rsidRPr="008353A4" w:rsidRDefault="00637F81" w:rsidP="008353A4">
      <w:pPr>
        <w:tabs>
          <w:tab w:val="left" w:pos="3240"/>
        </w:tabs>
        <w:spacing w:after="120" w:line="240" w:lineRule="auto"/>
        <w:ind w:left="3600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Cons. Pia Marconi</w:t>
      </w:r>
    </w:p>
    <w:sectPr w:rsidR="002F08A8" w:rsidRPr="008353A4" w:rsidSect="00A60B9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3828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E7" w:rsidRDefault="00AD70E7">
      <w:pPr>
        <w:spacing w:after="0" w:line="240" w:lineRule="auto"/>
      </w:pPr>
      <w:r>
        <w:separator/>
      </w:r>
    </w:p>
  </w:endnote>
  <w:endnote w:type="continuationSeparator" w:id="0">
    <w:p w:rsidR="00AD70E7" w:rsidRDefault="00AD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2" w:rsidRDefault="00D006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78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0972" w:rsidRDefault="006C27F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2" w:rsidRDefault="00D006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78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27F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A0972" w:rsidRDefault="006C27F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E7" w:rsidRDefault="00AD70E7">
      <w:pPr>
        <w:spacing w:after="0" w:line="240" w:lineRule="auto"/>
      </w:pPr>
      <w:r>
        <w:separator/>
      </w:r>
    </w:p>
  </w:footnote>
  <w:footnote w:type="continuationSeparator" w:id="0">
    <w:p w:rsidR="00AD70E7" w:rsidRDefault="00AD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2" w:rsidRDefault="00897807" w:rsidP="006D6A1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743575" cy="1752600"/>
          <wp:effectExtent l="0" t="0" r="9525" b="0"/>
          <wp:docPr id="65" name="Picture 65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2" w:rsidRDefault="00897807" w:rsidP="00A60B9A">
    <w:pPr>
      <w:pStyle w:val="Intestazione"/>
      <w:tabs>
        <w:tab w:val="clear" w:pos="9638"/>
      </w:tabs>
      <w:jc w:val="center"/>
    </w:pPr>
    <w:r>
      <w:rPr>
        <w:noProof/>
        <w:lang w:eastAsia="it-IT"/>
      </w:rPr>
      <w:drawing>
        <wp:inline distT="0" distB="0" distL="0" distR="0">
          <wp:extent cx="5991225" cy="1825141"/>
          <wp:effectExtent l="19050" t="0" r="9525" b="0"/>
          <wp:docPr id="66" name="Picture 66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82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9A" w:rsidRDefault="00897807" w:rsidP="00A60B9A">
    <w:pPr>
      <w:pStyle w:val="Intestazione"/>
    </w:pPr>
    <w:r>
      <w:t xml:space="preserve">                                                        IL CAPO DIPARTIMENTO</w:t>
    </w:r>
  </w:p>
  <w:p w:rsidR="00A60B9A" w:rsidRDefault="006C27FB" w:rsidP="001A17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537"/>
    <w:multiLevelType w:val="hybridMultilevel"/>
    <w:tmpl w:val="C98ECE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F81"/>
    <w:rsid w:val="00013243"/>
    <w:rsid w:val="00044DE6"/>
    <w:rsid w:val="001C670F"/>
    <w:rsid w:val="002F08A8"/>
    <w:rsid w:val="003E18ED"/>
    <w:rsid w:val="004364A3"/>
    <w:rsid w:val="004C7694"/>
    <w:rsid w:val="00500275"/>
    <w:rsid w:val="005E11AC"/>
    <w:rsid w:val="00603077"/>
    <w:rsid w:val="00637F81"/>
    <w:rsid w:val="00687A66"/>
    <w:rsid w:val="006C27FB"/>
    <w:rsid w:val="006D3136"/>
    <w:rsid w:val="007C4F66"/>
    <w:rsid w:val="008353A4"/>
    <w:rsid w:val="008862DD"/>
    <w:rsid w:val="00897807"/>
    <w:rsid w:val="008E347C"/>
    <w:rsid w:val="008F3A4A"/>
    <w:rsid w:val="009659E6"/>
    <w:rsid w:val="00AB4D5B"/>
    <w:rsid w:val="00AD70E7"/>
    <w:rsid w:val="00AE24C1"/>
    <w:rsid w:val="00B97A90"/>
    <w:rsid w:val="00BE1A8B"/>
    <w:rsid w:val="00D00644"/>
    <w:rsid w:val="00D14D7A"/>
    <w:rsid w:val="00D40ADD"/>
    <w:rsid w:val="00D71364"/>
    <w:rsid w:val="00DE0CA6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7F81"/>
  </w:style>
  <w:style w:type="paragraph" w:styleId="Intestazione">
    <w:name w:val="header"/>
    <w:basedOn w:val="Normale"/>
    <w:link w:val="IntestazioneCarattere"/>
    <w:uiPriority w:val="99"/>
    <w:semiHidden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7F81"/>
  </w:style>
  <w:style w:type="character" w:styleId="Numeropagina">
    <w:name w:val="page number"/>
    <w:basedOn w:val="Carpredefinitoparagrafo"/>
    <w:rsid w:val="00637F81"/>
  </w:style>
  <w:style w:type="character" w:styleId="Rimandocommento">
    <w:name w:val="annotation reference"/>
    <w:basedOn w:val="Carpredefinitoparagrafo"/>
    <w:uiPriority w:val="99"/>
    <w:semiHidden/>
    <w:unhideWhenUsed/>
    <w:rsid w:val="00BE1A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A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A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Pietrostefani</dc:creator>
  <cp:keywords/>
  <dc:description/>
  <cp:lastModifiedBy>aambrosini</cp:lastModifiedBy>
  <cp:revision>8</cp:revision>
  <dcterms:created xsi:type="dcterms:W3CDTF">2017-09-04T15:29:00Z</dcterms:created>
  <dcterms:modified xsi:type="dcterms:W3CDTF">2017-09-04T16:11:00Z</dcterms:modified>
</cp:coreProperties>
</file>